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785E80">
      <w:pPr>
        <w:jc w:val="center"/>
        <w:rPr>
          <w:rFonts w:hint="eastAsia" w:ascii="宋体" w:hAnsi="宋体" w:eastAsia="宋体" w:cs="宋体"/>
          <w:bCs/>
          <w:sz w:val="44"/>
          <w:szCs w:val="44"/>
          <w:lang w:eastAsia="zh-CN"/>
        </w:rPr>
      </w:pPr>
      <w:r>
        <w:rPr>
          <w:rFonts w:hint="eastAsia" w:ascii="宋体" w:hAnsi="宋体" w:eastAsia="宋体" w:cs="宋体"/>
          <w:bCs/>
          <w:sz w:val="44"/>
          <w:szCs w:val="44"/>
        </w:rPr>
        <w:t>合肥周谷堆大兴农产品国际物流园智能水电表采购安装项目招标文件补疑</w:t>
      </w:r>
      <w:r>
        <w:rPr>
          <w:rFonts w:hint="eastAsia" w:ascii="宋体" w:hAnsi="宋体" w:cs="宋体"/>
          <w:bCs/>
          <w:sz w:val="44"/>
          <w:szCs w:val="44"/>
          <w:lang w:val="en-US" w:eastAsia="zh-CN"/>
        </w:rPr>
        <w:t>2</w:t>
      </w:r>
    </w:p>
    <w:p w14:paraId="1BA1AC22">
      <w:pPr>
        <w:jc w:val="center"/>
        <w:rPr>
          <w:rFonts w:hint="eastAsia" w:ascii="宋体" w:hAnsi="宋体" w:eastAsia="宋体" w:cs="宋体"/>
          <w:bCs/>
          <w:sz w:val="44"/>
          <w:szCs w:val="44"/>
        </w:rPr>
      </w:pPr>
      <w:r>
        <w:rPr>
          <w:rFonts w:hint="eastAsia" w:ascii="宋体" w:hAnsi="宋体" w:eastAsia="宋体" w:cs="宋体"/>
          <w:bCs/>
          <w:sz w:val="44"/>
          <w:szCs w:val="44"/>
        </w:rPr>
        <w:t>2025BFFWZ01902</w:t>
      </w:r>
    </w:p>
    <w:p w14:paraId="44443729">
      <w:pPr>
        <w:spacing w:line="420" w:lineRule="exact"/>
        <w:ind w:left="1363"/>
        <w:jc w:val="left"/>
        <w:rPr>
          <w:rFonts w:ascii="方正书宋简体" w:hAnsi="方正书宋简体" w:eastAsia="方正书宋简体" w:cs="方正书宋简体"/>
          <w:b/>
          <w:kern w:val="0"/>
          <w:szCs w:val="21"/>
        </w:rPr>
      </w:pPr>
    </w:p>
    <w:p w14:paraId="51FE6F59">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第一部分：招标文件</w:t>
      </w:r>
      <w:r>
        <w:rPr>
          <w:rFonts w:hint="eastAsia" w:ascii="黑体" w:hAnsi="黑体" w:eastAsia="黑体" w:cs="黑体"/>
          <w:b w:val="0"/>
          <w:bCs/>
          <w:kern w:val="0"/>
          <w:sz w:val="28"/>
          <w:szCs w:val="28"/>
          <w:lang w:val="en-US" w:eastAsia="zh-CN"/>
        </w:rPr>
        <w:t>变更</w:t>
      </w:r>
      <w:r>
        <w:rPr>
          <w:rFonts w:hint="eastAsia" w:ascii="黑体" w:hAnsi="黑体" w:eastAsia="黑体" w:cs="黑体"/>
          <w:b w:val="0"/>
          <w:bCs/>
          <w:kern w:val="0"/>
          <w:sz w:val="28"/>
          <w:szCs w:val="28"/>
        </w:rPr>
        <w:t>内容</w:t>
      </w:r>
    </w:p>
    <w:p w14:paraId="26C36D4C">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default" w:ascii="仿宋" w:hAnsi="仿宋" w:eastAsia="仿宋" w:cs="仿宋"/>
          <w:kern w:val="0"/>
          <w:sz w:val="28"/>
          <w:szCs w:val="28"/>
          <w:lang w:val="en-US"/>
        </w:rPr>
      </w:pPr>
      <w:r>
        <w:rPr>
          <w:rFonts w:hint="eastAsia" w:ascii="仿宋" w:hAnsi="仿宋" w:eastAsia="仿宋" w:cs="仿宋"/>
          <w:kern w:val="0"/>
          <w:sz w:val="28"/>
          <w:szCs w:val="28"/>
          <w:lang w:val="en-US" w:eastAsia="zh-CN"/>
        </w:rPr>
        <w:t>招标文件“</w:t>
      </w:r>
      <w:r>
        <w:rPr>
          <w:rFonts w:hint="eastAsia" w:ascii="仿宋" w:hAnsi="仿宋" w:eastAsia="仿宋" w:cs="仿宋"/>
          <w:kern w:val="0"/>
          <w:sz w:val="28"/>
          <w:szCs w:val="28"/>
        </w:rPr>
        <w:t>第三章 评标办法</w:t>
      </w:r>
      <w:r>
        <w:rPr>
          <w:rFonts w:hint="eastAsia" w:ascii="仿宋" w:hAnsi="仿宋" w:eastAsia="仿宋" w:cs="仿宋"/>
          <w:kern w:val="0"/>
          <w:sz w:val="28"/>
          <w:szCs w:val="28"/>
          <w:lang w:val="en-US" w:eastAsia="zh-CN"/>
        </w:rPr>
        <w:t>”中“商务、技术及报价文件详细评审标准”的</w:t>
      </w:r>
    </w:p>
    <w:p w14:paraId="37FA60B7">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调整为：</w:t>
      </w:r>
    </w:p>
    <w:tbl>
      <w:tblPr>
        <w:tblStyle w:val="10"/>
        <w:tblW w:w="5196" w:type="pct"/>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82"/>
        <w:gridCol w:w="1121"/>
        <w:gridCol w:w="6112"/>
      </w:tblGrid>
      <w:tr w14:paraId="157B4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8" w:hRule="atLeast"/>
        </w:trPr>
        <w:tc>
          <w:tcPr>
            <w:tcW w:w="1218" w:type="dxa"/>
            <w:noWrap w:val="0"/>
            <w:tcMar>
              <w:left w:w="75" w:type="dxa"/>
            </w:tcMar>
            <w:vAlign w:val="center"/>
          </w:tcPr>
          <w:p w14:paraId="1BA115CA">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品牌、证书认证</w:t>
            </w:r>
          </w:p>
        </w:tc>
        <w:tc>
          <w:tcPr>
            <w:tcW w:w="921" w:type="dxa"/>
            <w:noWrap w:val="0"/>
            <w:vAlign w:val="center"/>
          </w:tcPr>
          <w:p w14:paraId="38B6F5BF">
            <w:pPr>
              <w:widowControl/>
              <w:snapToGrid w:val="0"/>
              <w:spacing w:line="360" w:lineRule="auto"/>
              <w:jc w:val="center"/>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分</w:t>
            </w:r>
          </w:p>
        </w:tc>
        <w:tc>
          <w:tcPr>
            <w:tcW w:w="5020" w:type="dxa"/>
            <w:noWrap w:val="0"/>
            <w:vAlign w:val="center"/>
          </w:tcPr>
          <w:p w14:paraId="30611048">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val="en-US" w:eastAsia="zh-CN" w:bidi="ar"/>
              </w:rPr>
              <w:t>1</w:t>
            </w:r>
            <w:r>
              <w:rPr>
                <w:rFonts w:hint="eastAsia" w:ascii="宋体" w:hAnsi="宋体" w:eastAsia="宋体" w:cs="宋体"/>
                <w:color w:val="000000"/>
                <w:kern w:val="0"/>
                <w:sz w:val="24"/>
                <w:szCs w:val="24"/>
                <w:highlight w:val="none"/>
                <w:lang w:val="en-US" w:eastAsia="zh-CN" w:bidi="ar"/>
              </w:rPr>
              <w:t>.所投产品具有国家知识产权局出具的水表或电表相关专利证书的，每提供一个证书得2分，本项满分</w:t>
            </w:r>
            <w:r>
              <w:rPr>
                <w:rFonts w:hint="eastAsia" w:ascii="宋体" w:hAnsi="宋体" w:cs="宋体"/>
                <w:color w:val="000000"/>
                <w:kern w:val="0"/>
                <w:sz w:val="24"/>
                <w:szCs w:val="24"/>
                <w:highlight w:val="none"/>
                <w:lang w:val="en-US" w:eastAsia="zh-CN" w:bidi="ar"/>
              </w:rPr>
              <w:t>4</w:t>
            </w:r>
            <w:r>
              <w:rPr>
                <w:rFonts w:hint="eastAsia" w:ascii="宋体" w:hAnsi="宋体" w:eastAsia="宋体" w:cs="宋体"/>
                <w:color w:val="000000"/>
                <w:kern w:val="0"/>
                <w:sz w:val="24"/>
                <w:szCs w:val="24"/>
                <w:highlight w:val="none"/>
                <w:lang w:val="en-US" w:eastAsia="zh-CN" w:bidi="ar"/>
              </w:rPr>
              <w:t>分。</w:t>
            </w:r>
          </w:p>
          <w:p w14:paraId="1271DA23">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eastAsia="宋体" w:cs="宋体"/>
                <w:b/>
                <w:bCs/>
                <w:color w:val="000000"/>
                <w:kern w:val="0"/>
                <w:sz w:val="24"/>
                <w:szCs w:val="24"/>
                <w:highlight w:val="none"/>
                <w:lang w:val="en-US" w:eastAsia="zh-CN" w:bidi="ar"/>
              </w:rPr>
            </w:pPr>
            <w:r>
              <w:rPr>
                <w:rFonts w:hint="eastAsia" w:ascii="宋体" w:hAnsi="宋体" w:eastAsia="宋体" w:cs="宋体"/>
                <w:b/>
                <w:bCs/>
                <w:color w:val="000000"/>
                <w:kern w:val="0"/>
                <w:sz w:val="24"/>
                <w:szCs w:val="24"/>
                <w:highlight w:val="none"/>
                <w:lang w:val="en-US" w:eastAsia="zh-CN" w:bidi="ar"/>
              </w:rPr>
              <w:t>注：投标文件中须提供专利证书及专利登记簿扫描件作为评审依据，专利所有权人须为投标人。</w:t>
            </w:r>
          </w:p>
          <w:p w14:paraId="4DF22488">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lang w:val="en-US" w:eastAsia="zh-CN" w:bidi="ar"/>
              </w:rPr>
              <w:t>.投标人（或所投产品生产厂家）具有软件著作权证书，且软件著作权证书中至少具有能耗监控类（或能耗远程管理系统或物联网综合管理系统）的，每提供一项软件著作权证书得1.5分，本项满分3分；</w:t>
            </w:r>
          </w:p>
          <w:p w14:paraId="5A3A0C5C">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cs="宋体"/>
                <w:color w:val="auto"/>
                <w:sz w:val="24"/>
                <w:highlight w:val="none"/>
              </w:rPr>
            </w:pPr>
            <w:r>
              <w:rPr>
                <w:rFonts w:hint="eastAsia" w:ascii="宋体" w:hAnsi="宋体" w:eastAsia="宋体" w:cs="宋体"/>
                <w:b/>
                <w:bCs/>
                <w:color w:val="000000"/>
                <w:kern w:val="0"/>
                <w:sz w:val="24"/>
                <w:szCs w:val="24"/>
                <w:highlight w:val="none"/>
                <w:lang w:val="en-US" w:eastAsia="zh-CN" w:bidi="ar"/>
              </w:rPr>
              <w:t>注：投标文件中须提供证书扫描件作为评审依据。</w:t>
            </w:r>
          </w:p>
        </w:tc>
      </w:tr>
    </w:tbl>
    <w:p w14:paraId="57AAAB75">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调整为：</w:t>
      </w:r>
    </w:p>
    <w:tbl>
      <w:tblPr>
        <w:tblStyle w:val="10"/>
        <w:tblW w:w="5196" w:type="pct"/>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82"/>
        <w:gridCol w:w="1121"/>
        <w:gridCol w:w="6112"/>
      </w:tblGrid>
      <w:tr w14:paraId="52046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8" w:hRule="atLeast"/>
        </w:trPr>
        <w:tc>
          <w:tcPr>
            <w:tcW w:w="1218" w:type="dxa"/>
            <w:noWrap w:val="0"/>
            <w:tcMar>
              <w:left w:w="75" w:type="dxa"/>
            </w:tcMar>
            <w:vAlign w:val="center"/>
          </w:tcPr>
          <w:p w14:paraId="07A3B26E">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lang w:val="en-US" w:eastAsia="zh-CN"/>
              </w:rPr>
              <w:t>品牌、证书认证</w:t>
            </w:r>
          </w:p>
        </w:tc>
        <w:tc>
          <w:tcPr>
            <w:tcW w:w="921" w:type="dxa"/>
            <w:noWrap w:val="0"/>
            <w:vAlign w:val="center"/>
          </w:tcPr>
          <w:p w14:paraId="0EBAC3FB">
            <w:pPr>
              <w:widowControl/>
              <w:snapToGrid w:val="0"/>
              <w:spacing w:line="360" w:lineRule="auto"/>
              <w:jc w:val="center"/>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分</w:t>
            </w:r>
          </w:p>
        </w:tc>
        <w:tc>
          <w:tcPr>
            <w:tcW w:w="5020" w:type="dxa"/>
            <w:noWrap w:val="0"/>
            <w:vAlign w:val="center"/>
          </w:tcPr>
          <w:p w14:paraId="0EDF4DC6">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val="en-US" w:eastAsia="zh-CN" w:bidi="ar"/>
              </w:rPr>
              <w:t>1</w:t>
            </w:r>
            <w:r>
              <w:rPr>
                <w:rFonts w:hint="eastAsia" w:ascii="宋体" w:hAnsi="宋体" w:eastAsia="宋体" w:cs="宋体"/>
                <w:color w:val="000000"/>
                <w:kern w:val="0"/>
                <w:sz w:val="24"/>
                <w:szCs w:val="24"/>
                <w:highlight w:val="none"/>
                <w:lang w:val="en-US" w:eastAsia="zh-CN" w:bidi="ar"/>
              </w:rPr>
              <w:t>.所投产品具有国家知识产权局出具的水表或电表相关专利证书的，每提供一个证书得2分，本项满分</w:t>
            </w:r>
            <w:r>
              <w:rPr>
                <w:rFonts w:hint="eastAsia" w:ascii="宋体" w:hAnsi="宋体" w:cs="宋体"/>
                <w:color w:val="000000"/>
                <w:kern w:val="0"/>
                <w:sz w:val="24"/>
                <w:szCs w:val="24"/>
                <w:highlight w:val="none"/>
                <w:lang w:val="en-US" w:eastAsia="zh-CN" w:bidi="ar"/>
              </w:rPr>
              <w:t>4</w:t>
            </w:r>
            <w:r>
              <w:rPr>
                <w:rFonts w:hint="eastAsia" w:ascii="宋体" w:hAnsi="宋体" w:eastAsia="宋体" w:cs="宋体"/>
                <w:color w:val="000000"/>
                <w:kern w:val="0"/>
                <w:sz w:val="24"/>
                <w:szCs w:val="24"/>
                <w:highlight w:val="none"/>
                <w:lang w:val="en-US" w:eastAsia="zh-CN" w:bidi="ar"/>
              </w:rPr>
              <w:t>分。</w:t>
            </w:r>
          </w:p>
          <w:p w14:paraId="0939BBC1">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eastAsia="宋体" w:cs="宋体"/>
                <w:b/>
                <w:bCs/>
                <w:color w:val="000000"/>
                <w:kern w:val="0"/>
                <w:sz w:val="24"/>
                <w:szCs w:val="24"/>
                <w:highlight w:val="none"/>
                <w:lang w:val="en-US" w:eastAsia="zh-CN" w:bidi="ar"/>
              </w:rPr>
            </w:pPr>
            <w:r>
              <w:rPr>
                <w:rFonts w:hint="eastAsia" w:ascii="宋体" w:hAnsi="宋体" w:eastAsia="宋体" w:cs="宋体"/>
                <w:b/>
                <w:bCs/>
                <w:color w:val="000000"/>
                <w:kern w:val="0"/>
                <w:sz w:val="24"/>
                <w:szCs w:val="24"/>
                <w:highlight w:val="none"/>
                <w:lang w:val="en-US" w:eastAsia="zh-CN" w:bidi="ar"/>
              </w:rPr>
              <w:t>注：投标文件中须提供专利证书及专利登记簿扫描件作为评审依据，专利所有权人须为</w:t>
            </w:r>
            <w:r>
              <w:rPr>
                <w:rFonts w:hint="eastAsia" w:ascii="宋体" w:hAnsi="宋体" w:cs="宋体"/>
                <w:b/>
                <w:bCs/>
                <w:color w:val="000000"/>
                <w:kern w:val="0"/>
                <w:sz w:val="24"/>
                <w:szCs w:val="24"/>
                <w:highlight w:val="none"/>
                <w:lang w:val="en-US" w:eastAsia="zh-CN" w:bidi="ar"/>
              </w:rPr>
              <w:t>所投产品生产厂家</w:t>
            </w:r>
            <w:r>
              <w:rPr>
                <w:rFonts w:hint="eastAsia" w:ascii="宋体" w:hAnsi="宋体" w:eastAsia="宋体" w:cs="宋体"/>
                <w:b/>
                <w:bCs/>
                <w:color w:val="000000"/>
                <w:kern w:val="0"/>
                <w:sz w:val="24"/>
                <w:szCs w:val="24"/>
                <w:highlight w:val="none"/>
                <w:lang w:val="en-US" w:eastAsia="zh-CN" w:bidi="ar"/>
              </w:rPr>
              <w:t>。</w:t>
            </w:r>
          </w:p>
          <w:p w14:paraId="7FEE2410">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lang w:val="en-US" w:eastAsia="zh-CN" w:bidi="ar"/>
              </w:rPr>
              <w:t>.投标人（或所投产品生产厂家）具有软件著作权证书，且软件著作权证书中至少具有能耗监控类（或能耗远程管理系统或物联网综合管理系统）的，每提供一项软件著作权证书得1.5分，本项满分3分；</w:t>
            </w:r>
          </w:p>
          <w:p w14:paraId="0642BA94">
            <w:pPr>
              <w:keepNext w:val="0"/>
              <w:keepLines w:val="0"/>
              <w:pageBreakBefore w:val="0"/>
              <w:widowControl/>
              <w:suppressLineNumbers w:val="0"/>
              <w:kinsoku/>
              <w:wordWrap/>
              <w:overflowPunct/>
              <w:topLinePunct w:val="0"/>
              <w:autoSpaceDE/>
              <w:autoSpaceDN/>
              <w:bidi w:val="0"/>
              <w:adjustRightInd/>
              <w:spacing w:line="400" w:lineRule="exact"/>
              <w:jc w:val="left"/>
              <w:textAlignment w:val="auto"/>
              <w:rPr>
                <w:rFonts w:hint="eastAsia" w:ascii="宋体" w:hAnsi="宋体" w:cs="宋体"/>
                <w:color w:val="auto"/>
                <w:sz w:val="24"/>
                <w:highlight w:val="none"/>
              </w:rPr>
            </w:pPr>
            <w:r>
              <w:rPr>
                <w:rFonts w:hint="eastAsia" w:ascii="宋体" w:hAnsi="宋体" w:eastAsia="宋体" w:cs="宋体"/>
                <w:b/>
                <w:bCs/>
                <w:color w:val="000000"/>
                <w:kern w:val="0"/>
                <w:sz w:val="24"/>
                <w:szCs w:val="24"/>
                <w:highlight w:val="none"/>
                <w:lang w:val="en-US" w:eastAsia="zh-CN" w:bidi="ar"/>
              </w:rPr>
              <w:t>注：投标文件中须提供证书扫描件作为评审依据。</w:t>
            </w:r>
          </w:p>
        </w:tc>
      </w:tr>
    </w:tbl>
    <w:p w14:paraId="33814B59">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eastAsia" w:ascii="黑体" w:hAnsi="黑体" w:eastAsia="黑体" w:cs="黑体"/>
          <w:b w:val="0"/>
          <w:bCs/>
          <w:kern w:val="0"/>
          <w:sz w:val="28"/>
          <w:szCs w:val="28"/>
        </w:rPr>
      </w:pPr>
    </w:p>
    <w:p w14:paraId="131F07ED">
      <w:pPr>
        <w:keepNext w:val="0"/>
        <w:keepLines w:val="0"/>
        <w:pageBreakBefore w:val="0"/>
        <w:widowControl w:val="0"/>
        <w:kinsoku/>
        <w:wordWrap/>
        <w:overflowPunct/>
        <w:topLinePunct w:val="0"/>
        <w:autoSpaceDE/>
        <w:autoSpaceDN/>
        <w:bidi w:val="0"/>
        <w:adjustRightInd/>
        <w:snapToGrid/>
        <w:spacing w:line="560" w:lineRule="exact"/>
        <w:ind w:left="0"/>
        <w:jc w:val="left"/>
        <w:textAlignment w:val="auto"/>
        <w:rPr>
          <w:rFonts w:hint="eastAsia" w:ascii="黑体" w:hAnsi="黑体" w:eastAsia="黑体" w:cs="黑体"/>
          <w:b w:val="0"/>
          <w:bCs/>
          <w:kern w:val="0"/>
          <w:sz w:val="28"/>
          <w:szCs w:val="28"/>
        </w:rPr>
      </w:pPr>
      <w:r>
        <w:rPr>
          <w:rFonts w:hint="eastAsia" w:ascii="黑体" w:hAnsi="黑体" w:eastAsia="黑体" w:cs="黑体"/>
          <w:b w:val="0"/>
          <w:bCs/>
          <w:kern w:val="0"/>
          <w:sz w:val="28"/>
          <w:szCs w:val="28"/>
        </w:rPr>
        <w:t>第</w:t>
      </w:r>
      <w:r>
        <w:rPr>
          <w:rFonts w:hint="eastAsia" w:ascii="黑体" w:hAnsi="黑体" w:eastAsia="黑体" w:cs="黑体"/>
          <w:b w:val="0"/>
          <w:bCs/>
          <w:kern w:val="0"/>
          <w:sz w:val="28"/>
          <w:szCs w:val="28"/>
          <w:lang w:val="en-US" w:eastAsia="zh-CN"/>
        </w:rPr>
        <w:t>二</w:t>
      </w:r>
      <w:r>
        <w:rPr>
          <w:rFonts w:hint="eastAsia" w:ascii="黑体" w:hAnsi="黑体" w:eastAsia="黑体" w:cs="黑体"/>
          <w:b w:val="0"/>
          <w:bCs/>
          <w:kern w:val="0"/>
          <w:sz w:val="28"/>
          <w:szCs w:val="28"/>
        </w:rPr>
        <w:t>部分：投标人疑问答复内容</w:t>
      </w:r>
    </w:p>
    <w:p w14:paraId="384A1E7B">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1.招标文件第55页，及项目补疑1中商务文件评分标准，品牌、证书认证提出：</w:t>
      </w:r>
    </w:p>
    <w:p w14:paraId="2971CAAC">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“所投产品具有国家知识产权局出具的水表或电表相关专利证书的，每提供一个证书得 2 分，本项满分 4 分。</w:t>
      </w:r>
    </w:p>
    <w:p w14:paraId="59E75994">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注：投标文件中须提供专利证书及专利登记扫描件作为评审依据，专利所有权人须为投标人”。</w:t>
      </w:r>
    </w:p>
    <w:p w14:paraId="4AE72761">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事实依据：既然评分条件已经说明为“所投产品”，可备注又提出“专利所有权人须为投标人”，前后矛盾，若专利所有权人须为投标人，则评分严重倾向某些水电表具生产厂家，排除了广大非水电表具生产商的投标人的得分。</w:t>
      </w:r>
    </w:p>
    <w:p w14:paraId="2C0C39AC">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法律依据：根据国务院第613号令《中华人民共和国招标投标法实施条例》第三十二条：“招标人不得以不合理的条件限制、排斥潜在投标人或者投标人。第五款：或者指定特定的专利、商标、品牌、原产地或者供应商；第七款：以其他不合理条件限制、排斥潜在投标人或者投标人。”</w:t>
      </w:r>
    </w:p>
    <w:p w14:paraId="6E2227E7">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建议将此条评分删除或删除“专利所有权人须为投标人”。</w:t>
      </w:r>
    </w:p>
    <w:p w14:paraId="2FFB362E">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答：见本补疑变更部分内容。</w:t>
      </w:r>
    </w:p>
    <w:p w14:paraId="3AC5550D">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p>
    <w:p w14:paraId="18D6B1B9">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2.招标文件第88、89、90页设备需求一览表内技术参数有以下要求：</w:t>
      </w:r>
    </w:p>
    <w:p w14:paraId="10087E1D">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4G 单相智能电表60A-技术参数要求：电流：0.25-0.5（60）A/5（60）A 或 5（60）A；</w:t>
      </w:r>
    </w:p>
    <w:p w14:paraId="64BACFEB">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4G三相智能电表 100A-技术参数要求：电流(A):直接接入 0.4-1（100）A/10（100）A；</w:t>
      </w:r>
    </w:p>
    <w:p w14:paraId="6829F5C4">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485单相智能电表 60A-技术参数要求：电流：0.25-0.5（60）A/5（60）A 或 5（60）A；</w:t>
      </w:r>
    </w:p>
    <w:p w14:paraId="170DE5AF">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485 三相电能表 100A-技术参数要求：电流(A): 直接接入 0.4-1（100）A/10（100）A；</w:t>
      </w:r>
    </w:p>
    <w:p w14:paraId="64E4BFEC">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485 通讯三相倍率电表-技术参数要求：电 流 (A):经互感器接入0.015-0.075(6)A/1.5(6)A。</w:t>
      </w:r>
    </w:p>
    <w:p w14:paraId="68B01C59">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事实依据： 依据国家标准GB/T 17215.321-2021，电流参数须基于精度等级及基本电流定义。本项目电表技术参数未标明精度等级，且Imin/Itr标注为固定值不符合国标，应以CPA报告为准。且上述电表的电流参数值只选取了国标允许值的一种，排除了其他符合国标的电流值，存在严重的倾向性与排他性，指向某电表生产厂家。</w:t>
      </w:r>
    </w:p>
    <w:p w14:paraId="0A9F48B4">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法律依据：根据国务院第613号令《中华人民共和国招标投标法实施条例》第三十二条：“招标人不得以不合理的条件限制、排斥潜在投标人或者投标人。第五款：或者指定特定的专利、商标、品牌、原产地或者供应商；第七款：以其他不合理条件限制、排斥潜在投标人或者投标人。”</w:t>
      </w:r>
    </w:p>
    <w:p w14:paraId="4E95D7E3">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建议删除各电表的电流参数，或修改为满足国标。</w:t>
      </w:r>
    </w:p>
    <w:p w14:paraId="2B1382FA">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答：1.精度等级须满足国家标准。</w:t>
      </w:r>
    </w:p>
    <w:p w14:paraId="4EA04F06">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2.设备需求一览表内技术参数为招标人基本要求，投标人所投产品技术参数须满足国家标准并具有CPA报告，且不低于招标人基本要求。</w:t>
      </w:r>
    </w:p>
    <w:p w14:paraId="11D9CD91">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3.“4G三相智能电表100A-技术参数：电流(A): 直接接入0.4-1（100）A/10（100）A和485三相电能表100A-技术参数：电流(A): 直接接入0.4-1（100）A/10（100）A”修改为“4G三相智能电表80A-技术参数：电流(A): 直接接入0.25-0.5(80)A／5(80)A和485三相电能表80A-技术参数：电流(A): 直接接入0.25-0.5(80)A／5(80)A。”。</w:t>
      </w:r>
    </w:p>
    <w:p w14:paraId="0C9C3DCF">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default" w:ascii="仿宋" w:hAnsi="仿宋" w:eastAsia="仿宋" w:cs="仿宋"/>
          <w:kern w:val="0"/>
          <w:sz w:val="28"/>
          <w:szCs w:val="28"/>
          <w:lang w:val="en-US" w:eastAsia="zh-CN"/>
        </w:rPr>
      </w:pPr>
    </w:p>
    <w:p w14:paraId="4E0269E8">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注：此补疑视同招标文件的组成部分，与招标文件具有同等法律效力。</w:t>
      </w:r>
    </w:p>
    <w:p w14:paraId="6B1BBDE1">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04C9FEF2">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招标人名称：合肥周谷堆大兴农产品国际物流园有限责任公司</w:t>
      </w:r>
    </w:p>
    <w:p w14:paraId="3916D4BC">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地址：安徽省合肥市瑶海区大兴镇和平路与钟油坊路交口</w:t>
      </w:r>
    </w:p>
    <w:p w14:paraId="3402E749">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联系人：颛孙工</w:t>
      </w:r>
    </w:p>
    <w:p w14:paraId="5823C320">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联系方式：0551-62970026</w:t>
      </w:r>
    </w:p>
    <w:p w14:paraId="27BAE038">
      <w:pPr>
        <w:keepNext w:val="0"/>
        <w:keepLines w:val="0"/>
        <w:pageBreakBefore w:val="0"/>
        <w:widowControl w:val="0"/>
        <w:shd w:val="clear"/>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招标代理：安徽公共资源交易集团项目管理有限公司</w:t>
      </w:r>
    </w:p>
    <w:p w14:paraId="70606E2A">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地址：合肥市滨湖新区南京路2588号（徽州大道与南京路交口）六楼</w:t>
      </w:r>
    </w:p>
    <w:p w14:paraId="687A053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rPr>
        <w:t>联系人：</w:t>
      </w:r>
      <w:r>
        <w:rPr>
          <w:rFonts w:hint="eastAsia" w:ascii="仿宋" w:hAnsi="仿宋" w:eastAsia="仿宋" w:cs="仿宋"/>
          <w:kern w:val="0"/>
          <w:sz w:val="28"/>
          <w:szCs w:val="28"/>
          <w:lang w:eastAsia="zh-CN"/>
        </w:rPr>
        <w:t>张工</w:t>
      </w:r>
    </w:p>
    <w:p w14:paraId="1C36905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联系方式：0551-66223668、66223831</w:t>
      </w:r>
    </w:p>
    <w:p w14:paraId="53C4E78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书宋简体" w:hAnsi="仿宋" w:eastAsia="方正书宋简体"/>
          <w:sz w:val="24"/>
          <w:szCs w:val="24"/>
          <w:lang w:val="zh-CN" w:eastAsia="zh-CN"/>
        </w:rPr>
      </w:pPr>
      <w:r>
        <w:rPr>
          <w:rFonts w:hint="eastAsia" w:ascii="仿宋" w:hAnsi="仿宋" w:eastAsia="仿宋" w:cs="仿宋"/>
          <w:kern w:val="0"/>
          <w:sz w:val="28"/>
          <w:szCs w:val="28"/>
          <w:lang w:val="en-US" w:eastAsia="zh-CN"/>
        </w:rPr>
        <w:t>2025年9月5</w:t>
      </w:r>
      <w:bookmarkStart w:id="0" w:name="_GoBack"/>
      <w:bookmarkEnd w:id="0"/>
      <w:r>
        <w:rPr>
          <w:rFonts w:hint="eastAsia" w:ascii="仿宋" w:hAnsi="仿宋" w:eastAsia="仿宋" w:cs="仿宋"/>
          <w:kern w:val="0"/>
          <w:sz w:val="28"/>
          <w:szCs w:val="28"/>
          <w:lang w:val="en-US" w:eastAsia="zh-CN"/>
        </w:rPr>
        <w:t>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3650582"/>
      <w:docPartObj>
        <w:docPartGallery w:val="autotext"/>
      </w:docPartObj>
    </w:sdtPr>
    <w:sdtContent>
      <w:p w14:paraId="729FB6E2">
        <w:pPr>
          <w:pStyle w:val="8"/>
          <w:jc w:val="center"/>
        </w:pPr>
        <w:r>
          <w:fldChar w:fldCharType="begin"/>
        </w:r>
        <w:r>
          <w:instrText xml:space="preserve">PAGE   \* MERGEFORMAT</w:instrText>
        </w:r>
        <w:r>
          <w:fldChar w:fldCharType="separate"/>
        </w:r>
        <w:r>
          <w:rPr>
            <w:lang w:val="zh-CN"/>
          </w:rPr>
          <w:t>1</w:t>
        </w:r>
        <w:r>
          <w:fldChar w:fldCharType="end"/>
        </w:r>
      </w:p>
    </w:sdtContent>
  </w:sdt>
  <w:p w14:paraId="04F0976F">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wNjliY2M4MzM2ZjAwZTA0MzU0N2JhMTQ3MGE5ZTcifQ=="/>
  </w:docVars>
  <w:rsids>
    <w:rsidRoot w:val="00E149E3"/>
    <w:rsid w:val="000000BA"/>
    <w:rsid w:val="00015D37"/>
    <w:rsid w:val="0001742A"/>
    <w:rsid w:val="0003191C"/>
    <w:rsid w:val="00032E6C"/>
    <w:rsid w:val="00033027"/>
    <w:rsid w:val="00052CCB"/>
    <w:rsid w:val="00094F39"/>
    <w:rsid w:val="000A6463"/>
    <w:rsid w:val="000F5633"/>
    <w:rsid w:val="00133965"/>
    <w:rsid w:val="00135D7F"/>
    <w:rsid w:val="0014362D"/>
    <w:rsid w:val="00164C82"/>
    <w:rsid w:val="0017759A"/>
    <w:rsid w:val="0019217B"/>
    <w:rsid w:val="001A19AE"/>
    <w:rsid w:val="001A27D5"/>
    <w:rsid w:val="001D0C79"/>
    <w:rsid w:val="001E2BB6"/>
    <w:rsid w:val="001F0BD0"/>
    <w:rsid w:val="001F3172"/>
    <w:rsid w:val="0020358D"/>
    <w:rsid w:val="00204582"/>
    <w:rsid w:val="002047CC"/>
    <w:rsid w:val="00214D30"/>
    <w:rsid w:val="002507B0"/>
    <w:rsid w:val="002B3D69"/>
    <w:rsid w:val="002D0F91"/>
    <w:rsid w:val="002D5B4E"/>
    <w:rsid w:val="002F476E"/>
    <w:rsid w:val="00303033"/>
    <w:rsid w:val="00312FA3"/>
    <w:rsid w:val="003552C8"/>
    <w:rsid w:val="00362241"/>
    <w:rsid w:val="003643A7"/>
    <w:rsid w:val="0039159F"/>
    <w:rsid w:val="003936B6"/>
    <w:rsid w:val="0039790B"/>
    <w:rsid w:val="003A518A"/>
    <w:rsid w:val="003A6E83"/>
    <w:rsid w:val="003A70B6"/>
    <w:rsid w:val="003C4258"/>
    <w:rsid w:val="003C599E"/>
    <w:rsid w:val="003D4BBD"/>
    <w:rsid w:val="003F4993"/>
    <w:rsid w:val="0041190E"/>
    <w:rsid w:val="004176E0"/>
    <w:rsid w:val="004228B4"/>
    <w:rsid w:val="0043393A"/>
    <w:rsid w:val="00444CB0"/>
    <w:rsid w:val="00467D94"/>
    <w:rsid w:val="0048384D"/>
    <w:rsid w:val="00483A21"/>
    <w:rsid w:val="0049697B"/>
    <w:rsid w:val="004A4D73"/>
    <w:rsid w:val="004B4BCB"/>
    <w:rsid w:val="004B7CDC"/>
    <w:rsid w:val="004C3E34"/>
    <w:rsid w:val="004C7B25"/>
    <w:rsid w:val="004C7FB5"/>
    <w:rsid w:val="004D1FA5"/>
    <w:rsid w:val="004D527D"/>
    <w:rsid w:val="004F540D"/>
    <w:rsid w:val="005514C1"/>
    <w:rsid w:val="0056174C"/>
    <w:rsid w:val="00583A8C"/>
    <w:rsid w:val="00587CBF"/>
    <w:rsid w:val="005905B6"/>
    <w:rsid w:val="005974A1"/>
    <w:rsid w:val="005A1452"/>
    <w:rsid w:val="005B4854"/>
    <w:rsid w:val="005B7858"/>
    <w:rsid w:val="006056D1"/>
    <w:rsid w:val="006135A5"/>
    <w:rsid w:val="00620647"/>
    <w:rsid w:val="006263E2"/>
    <w:rsid w:val="00671D09"/>
    <w:rsid w:val="00681134"/>
    <w:rsid w:val="006D1BB9"/>
    <w:rsid w:val="006E5E34"/>
    <w:rsid w:val="006F5C6D"/>
    <w:rsid w:val="006F5EBD"/>
    <w:rsid w:val="00715B64"/>
    <w:rsid w:val="00735279"/>
    <w:rsid w:val="0074172F"/>
    <w:rsid w:val="00756A93"/>
    <w:rsid w:val="00766E5D"/>
    <w:rsid w:val="00780321"/>
    <w:rsid w:val="00783E1B"/>
    <w:rsid w:val="00797F87"/>
    <w:rsid w:val="007A5860"/>
    <w:rsid w:val="007B1147"/>
    <w:rsid w:val="007B40BE"/>
    <w:rsid w:val="007D361D"/>
    <w:rsid w:val="007E3373"/>
    <w:rsid w:val="007E5794"/>
    <w:rsid w:val="007F28DC"/>
    <w:rsid w:val="007F2EA9"/>
    <w:rsid w:val="00811D7B"/>
    <w:rsid w:val="00817B36"/>
    <w:rsid w:val="008249E3"/>
    <w:rsid w:val="00827C25"/>
    <w:rsid w:val="00830785"/>
    <w:rsid w:val="0083303E"/>
    <w:rsid w:val="0083723D"/>
    <w:rsid w:val="00871298"/>
    <w:rsid w:val="00882FFD"/>
    <w:rsid w:val="008C52AF"/>
    <w:rsid w:val="008C6450"/>
    <w:rsid w:val="00926EB9"/>
    <w:rsid w:val="00942100"/>
    <w:rsid w:val="00944106"/>
    <w:rsid w:val="009574BA"/>
    <w:rsid w:val="00997145"/>
    <w:rsid w:val="009D0AA7"/>
    <w:rsid w:val="009D6067"/>
    <w:rsid w:val="00A04101"/>
    <w:rsid w:val="00A14899"/>
    <w:rsid w:val="00A23A67"/>
    <w:rsid w:val="00A37D58"/>
    <w:rsid w:val="00A5277E"/>
    <w:rsid w:val="00A73927"/>
    <w:rsid w:val="00A91AF0"/>
    <w:rsid w:val="00A969B8"/>
    <w:rsid w:val="00AA311A"/>
    <w:rsid w:val="00AB6A09"/>
    <w:rsid w:val="00AC74A5"/>
    <w:rsid w:val="00B32E08"/>
    <w:rsid w:val="00B348D6"/>
    <w:rsid w:val="00B44F34"/>
    <w:rsid w:val="00B66A0D"/>
    <w:rsid w:val="00B7460D"/>
    <w:rsid w:val="00B80A88"/>
    <w:rsid w:val="00BB3468"/>
    <w:rsid w:val="00BB3545"/>
    <w:rsid w:val="00BB6351"/>
    <w:rsid w:val="00BD10B3"/>
    <w:rsid w:val="00BD734B"/>
    <w:rsid w:val="00BE0FB2"/>
    <w:rsid w:val="00BE75C9"/>
    <w:rsid w:val="00C045B0"/>
    <w:rsid w:val="00C445A9"/>
    <w:rsid w:val="00C459AF"/>
    <w:rsid w:val="00C4663C"/>
    <w:rsid w:val="00C538FB"/>
    <w:rsid w:val="00C81D46"/>
    <w:rsid w:val="00C847B8"/>
    <w:rsid w:val="00C8774B"/>
    <w:rsid w:val="00C924BA"/>
    <w:rsid w:val="00CA2122"/>
    <w:rsid w:val="00CA23DF"/>
    <w:rsid w:val="00CC5F64"/>
    <w:rsid w:val="00CD04B9"/>
    <w:rsid w:val="00CE53FA"/>
    <w:rsid w:val="00CF1264"/>
    <w:rsid w:val="00D0525A"/>
    <w:rsid w:val="00D26264"/>
    <w:rsid w:val="00D602BD"/>
    <w:rsid w:val="00D867F3"/>
    <w:rsid w:val="00DA33D7"/>
    <w:rsid w:val="00DB03ED"/>
    <w:rsid w:val="00DB6F0D"/>
    <w:rsid w:val="00DD3F40"/>
    <w:rsid w:val="00DD4772"/>
    <w:rsid w:val="00DD598C"/>
    <w:rsid w:val="00DF46AD"/>
    <w:rsid w:val="00E01D36"/>
    <w:rsid w:val="00E149E3"/>
    <w:rsid w:val="00E1745A"/>
    <w:rsid w:val="00E21903"/>
    <w:rsid w:val="00E40F78"/>
    <w:rsid w:val="00E63AF0"/>
    <w:rsid w:val="00E66FC2"/>
    <w:rsid w:val="00E875D6"/>
    <w:rsid w:val="00E959C6"/>
    <w:rsid w:val="00EA247C"/>
    <w:rsid w:val="00EC7646"/>
    <w:rsid w:val="00ED1B3E"/>
    <w:rsid w:val="00EE1D6E"/>
    <w:rsid w:val="00EF0F81"/>
    <w:rsid w:val="00F20F45"/>
    <w:rsid w:val="00F23CC2"/>
    <w:rsid w:val="00F25049"/>
    <w:rsid w:val="00F428AB"/>
    <w:rsid w:val="00F707FA"/>
    <w:rsid w:val="00F82DF2"/>
    <w:rsid w:val="00F9410C"/>
    <w:rsid w:val="00FB4EF0"/>
    <w:rsid w:val="00FC16BE"/>
    <w:rsid w:val="00FC7D87"/>
    <w:rsid w:val="00FF13B1"/>
    <w:rsid w:val="00FF3350"/>
    <w:rsid w:val="133455EC"/>
    <w:rsid w:val="1E940647"/>
    <w:rsid w:val="25387812"/>
    <w:rsid w:val="2ADD1124"/>
    <w:rsid w:val="38646827"/>
    <w:rsid w:val="39FA57CA"/>
    <w:rsid w:val="3A3B3696"/>
    <w:rsid w:val="49B22E5C"/>
    <w:rsid w:val="5D021ACE"/>
    <w:rsid w:val="5DC8357D"/>
    <w:rsid w:val="7B240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Calibri" w:hAnsi="Calibri" w:eastAsia="宋体" w:cs="Times New Roman"/>
      <w:kern w:val="2"/>
      <w:sz w:val="21"/>
      <w:szCs w:val="22"/>
      <w:lang w:val="en-US" w:eastAsia="zh-CN" w:bidi="ar-SA"/>
    </w:rPr>
  </w:style>
  <w:style w:type="paragraph" w:styleId="2">
    <w:name w:val="heading 2"/>
    <w:basedOn w:val="1"/>
    <w:next w:val="1"/>
    <w:link w:val="18"/>
    <w:unhideWhenUsed/>
    <w:qFormat/>
    <w:uiPriority w:val="0"/>
    <w:pPr>
      <w:keepNext/>
      <w:keepLines/>
      <w:spacing w:before="260" w:after="260" w:line="416" w:lineRule="auto"/>
      <w:outlineLvl w:val="1"/>
    </w:pPr>
    <w:rPr>
      <w:rFonts w:ascii="Cambria" w:hAnsi="Cambria"/>
      <w:b/>
      <w:bCs/>
      <w:sz w:val="32"/>
      <w:szCs w:val="32"/>
      <w:lang w:val="zh-CN" w:eastAsia="zh-CN"/>
    </w:rPr>
  </w:style>
  <w:style w:type="paragraph" w:styleId="3">
    <w:name w:val="heading 3"/>
    <w:basedOn w:val="1"/>
    <w:next w:val="1"/>
    <w:link w:val="17"/>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unhideWhenUsed/>
    <w:qFormat/>
    <w:uiPriority w:val="99"/>
    <w:pPr>
      <w:ind w:firstLine="420"/>
    </w:pPr>
    <w:rPr>
      <w:szCs w:val="20"/>
    </w:rPr>
  </w:style>
  <w:style w:type="paragraph" w:styleId="5">
    <w:name w:val="Body Text"/>
    <w:basedOn w:val="1"/>
    <w:next w:val="1"/>
    <w:unhideWhenUsed/>
    <w:qFormat/>
    <w:uiPriority w:val="99"/>
    <w:rPr>
      <w:rFonts w:ascii="宋体" w:hAnsi="Arial"/>
      <w:sz w:val="28"/>
      <w:szCs w:val="20"/>
    </w:rPr>
  </w:style>
  <w:style w:type="paragraph" w:styleId="6">
    <w:name w:val="Date"/>
    <w:basedOn w:val="1"/>
    <w:next w:val="1"/>
    <w:link w:val="15"/>
    <w:semiHidden/>
    <w:unhideWhenUsed/>
    <w:qFormat/>
    <w:uiPriority w:val="99"/>
    <w:pPr>
      <w:ind w:left="100" w:leftChars="2500"/>
    </w:pPr>
  </w:style>
  <w:style w:type="paragraph" w:styleId="7">
    <w:name w:val="Balloon Text"/>
    <w:basedOn w:val="1"/>
    <w:link w:val="19"/>
    <w:semiHidden/>
    <w:unhideWhenUsed/>
    <w:qFormat/>
    <w:uiPriority w:val="99"/>
    <w:rPr>
      <w:sz w:val="18"/>
      <w:szCs w:val="18"/>
    </w:rPr>
  </w:style>
  <w:style w:type="paragraph" w:styleId="8">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9">
    <w:name w:val="header"/>
    <w:basedOn w:val="1"/>
    <w:link w:val="12"/>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12">
    <w:name w:val="页眉 Char"/>
    <w:basedOn w:val="11"/>
    <w:link w:val="9"/>
    <w:qFormat/>
    <w:uiPriority w:val="99"/>
    <w:rPr>
      <w:sz w:val="18"/>
      <w:szCs w:val="18"/>
    </w:rPr>
  </w:style>
  <w:style w:type="character" w:customStyle="1" w:styleId="13">
    <w:name w:val="页脚 Char"/>
    <w:basedOn w:val="11"/>
    <w:link w:val="8"/>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日期 Char"/>
    <w:basedOn w:val="11"/>
    <w:link w:val="6"/>
    <w:semiHidden/>
    <w:qFormat/>
    <w:uiPriority w:val="99"/>
    <w:rPr>
      <w:rFonts w:ascii="Calibri" w:hAnsi="Calibri" w:eastAsia="宋体" w:cs="Times New Roman"/>
    </w:rPr>
  </w:style>
  <w:style w:type="paragraph" w:customStyle="1" w:styleId="16">
    <w:name w:val="正文_0"/>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customStyle="1" w:styleId="17">
    <w:name w:val="标题 3 Char"/>
    <w:basedOn w:val="11"/>
    <w:link w:val="3"/>
    <w:qFormat/>
    <w:uiPriority w:val="9"/>
    <w:rPr>
      <w:rFonts w:ascii="Calibri" w:hAnsi="Calibri" w:eastAsia="宋体" w:cs="Times New Roman"/>
      <w:b/>
      <w:bCs/>
      <w:sz w:val="32"/>
      <w:szCs w:val="32"/>
    </w:rPr>
  </w:style>
  <w:style w:type="character" w:customStyle="1" w:styleId="18">
    <w:name w:val="标题 2 Char"/>
    <w:basedOn w:val="11"/>
    <w:link w:val="2"/>
    <w:qFormat/>
    <w:uiPriority w:val="0"/>
    <w:rPr>
      <w:rFonts w:ascii="Cambria" w:hAnsi="Cambria" w:eastAsia="宋体" w:cs="Times New Roman"/>
      <w:b/>
      <w:bCs/>
      <w:sz w:val="32"/>
      <w:szCs w:val="32"/>
      <w:lang w:val="zh-CN" w:eastAsia="zh-CN"/>
    </w:rPr>
  </w:style>
  <w:style w:type="character" w:customStyle="1" w:styleId="19">
    <w:name w:val="批注框文本 Char"/>
    <w:basedOn w:val="11"/>
    <w:link w:val="7"/>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1741</Words>
  <Characters>2027</Characters>
  <Lines>7</Lines>
  <Paragraphs>2</Paragraphs>
  <TotalTime>1</TotalTime>
  <ScaleCrop>false</ScaleCrop>
  <LinksUpToDate>false</LinksUpToDate>
  <CharactersWithSpaces>2101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2020-01-13T07:30:00Z</dcterms:created>
  <dc:creator>NTKO</dc:creator>
  <cp:lastModifiedBy>颛孙恩洋</cp:lastModifiedBy>
  <cp:lastPrinted>2020-09-02T08:22:00Z</cp:lastPrinted>
  <dcterms:modified xsi:type="dcterms:W3CDTF">2025-09-05T02:13:09Z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EAAB1E9270CB4AFCB9FE85E895171B3D_13</vt:lpwstr>
  </property>
  <property fmtid="{D5CDD505-2E9C-101B-9397-08002B2CF9AE}" pid="4" name="KSOTemplateDocerSaveRecord">
    <vt:lpwstr>eyJoZGlkIjoiM2U1YzdhNGQ4MGE1MjFiNDc0YjU2OTQwZGIxNTNkMDgiLCJ1c2VySWQiOiIxNjA3MTc0NzQwIn0=</vt:lpwstr>
  </property>
</Properties>
</file>